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2353C2">
        <w:rPr>
          <w:rFonts w:ascii="Arial" w:eastAsia="Times New Roman" w:hAnsi="Arial" w:cs="Arial"/>
          <w:bCs/>
          <w:sz w:val="20"/>
          <w:szCs w:val="20"/>
        </w:rPr>
        <w:lastRenderedPageBreak/>
        <w:t>(DZO),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Črta se 2. in 3. odst. podčlena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r w:rsidR="00CF4F5B">
        <w:rPr>
          <w:rFonts w:ascii="Arial" w:eastAsia="Times New Roman" w:hAnsi="Arial" w:cs="Arial"/>
          <w:bCs/>
          <w:sz w:val="20"/>
          <w:szCs w:val="20"/>
        </w:rPr>
        <w:t>pod</w:t>
      </w:r>
      <w:r w:rsidRPr="002353C2">
        <w:rPr>
          <w:rFonts w:ascii="Arial" w:eastAsia="Times New Roman" w:hAnsi="Arial" w:cs="Arial"/>
          <w:bCs/>
          <w:sz w:val="20"/>
          <w:szCs w:val="20"/>
        </w:rPr>
        <w:t>člena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45CEAD3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mora pred prejetjem “Potrdila o izvedbi” predložiti garancijo za odpravo napak v garancijskem roku (Extended Liability)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439603F"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 xml:space="preserve">30 dni </w:t>
      </w:r>
      <w:r w:rsidR="006E0CE9">
        <w:rPr>
          <w:rFonts w:ascii="Arial" w:eastAsia="Times New Roman" w:hAnsi="Arial" w:cs="Arial"/>
          <w:bCs/>
          <w:sz w:val="20"/>
          <w:szCs w:val="20"/>
        </w:rPr>
        <w:t>dlje</w:t>
      </w:r>
      <w:r w:rsidR="003C6E8E" w:rsidRPr="00CE700B">
        <w:rPr>
          <w:rFonts w:ascii="Arial" w:eastAsia="Times New Roman" w:hAnsi="Arial" w:cs="Arial"/>
          <w:bCs/>
          <w:sz w:val="20"/>
          <w:szCs w:val="20"/>
        </w:rPr>
        <w:t xml:space="preserve">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Podčlenu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lastRenderedPageBreak/>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(ii) podčlena se doda:</w:t>
      </w:r>
    </w:p>
    <w:p w14:paraId="5A225A73"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planom bo izvajalec predal inženirju plan opreme in mehanizacije, gradbenega materiala in delovne sile, ki se nanaša na terminski program. Pri izdelavi podrobnega terminskega plana bo izvajalec moral upoštevati najbolj optimalno zaporedje izvajanja del, ki bo usklajeno z upravljavcem JŽI.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00B3A6B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r w:rsidRPr="005D7112">
        <w:rPr>
          <w:rFonts w:ascii="Arial" w:eastAsia="Times New Roman" w:hAnsi="Arial" w:cs="Arial"/>
          <w:bCs/>
          <w:sz w:val="20"/>
          <w:szCs w:val="20"/>
        </w:rPr>
        <w:t>Podčlenu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Pri Delih kot so rekonstrukcije, obnove, modernizacije in podobno, kjer se dela vršijo pod prometom, določila tretjega odstavka tega podčlena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D7CD91E"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 Če tarif kalkulativnih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»Višina manipulativnih stroškov v primeru, da izvajalec izvedbo dodatnih ali nepredvidenih del odda v podizvajanje,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Podčlen</w:t>
      </w:r>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4B350631" w14:textId="4C3B563C" w:rsidR="003B7AA9"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sidR="00FF5C1C">
        <w:rPr>
          <w:rFonts w:ascii="Arial" w:eastAsia="Times New Roman" w:hAnsi="Arial" w:cs="Arial"/>
          <w:sz w:val="20"/>
          <w:szCs w:val="20"/>
        </w:rPr>
        <w:t xml:space="preserve"> in nespremenljive do zaključka izvedbe predmeta naročila</w:t>
      </w:r>
      <w:r w:rsidR="00EF26B6" w:rsidRPr="00CE700B">
        <w:rPr>
          <w:rFonts w:ascii="Arial" w:eastAsia="Times New Roman" w:hAnsi="Arial" w:cs="Arial"/>
          <w:sz w:val="20"/>
          <w:szCs w:val="20"/>
        </w:rPr>
        <w:t>.</w:t>
      </w:r>
      <w:r>
        <w:rPr>
          <w:rFonts w:ascii="Arial" w:eastAsia="Times New Roman" w:hAnsi="Arial" w:cs="Arial"/>
          <w:sz w:val="20"/>
          <w:szCs w:val="20"/>
        </w:rPr>
        <w:t>«</w:t>
      </w:r>
    </w:p>
    <w:p w14:paraId="05E45F6E" w14:textId="77777777" w:rsidR="003B7AA9" w:rsidRPr="00CE700B" w:rsidRDefault="003B7AA9"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bookmarkStart w:id="0" w:name="_GoBack"/>
      <w:bookmarkEnd w:id="0"/>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r w:rsidR="00FF5C1C">
        <w:rPr>
          <w:rFonts w:ascii="Arial" w:eastAsia="Times New Roman" w:hAnsi="Arial" w:cs="Arial"/>
          <w:bCs/>
          <w:sz w:val="20"/>
          <w:szCs w:val="20"/>
        </w:rPr>
        <w:t>pod</w:t>
      </w:r>
      <w:r w:rsidRPr="00CE700B">
        <w:rPr>
          <w:rFonts w:ascii="Arial" w:eastAsia="Times New Roman" w:hAnsi="Arial" w:cs="Arial"/>
          <w:bCs/>
          <w:sz w:val="20"/>
          <w:szCs w:val="20"/>
        </w:rPr>
        <w:t>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w:t>
      </w:r>
      <w:r w:rsidRPr="00CE700B">
        <w:rPr>
          <w:rFonts w:ascii="Arial" w:eastAsia="Times New Roman" w:hAnsi="Arial" w:cs="Arial"/>
          <w:bCs/>
          <w:sz w:val="20"/>
          <w:szCs w:val="20"/>
        </w:rPr>
        <w:lastRenderedPageBreak/>
        <w:t>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šestega odstavka podčlena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Črtajo se podčleni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lastRenderedPageBreak/>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3057" w14:textId="77777777" w:rsidR="0098585D" w:rsidRDefault="0098585D">
      <w:r>
        <w:separator/>
      </w:r>
    </w:p>
  </w:endnote>
  <w:endnote w:type="continuationSeparator" w:id="0">
    <w:p w14:paraId="52000F1F" w14:textId="77777777" w:rsidR="0098585D" w:rsidRDefault="0098585D">
      <w:r>
        <w:continuationSeparator/>
      </w:r>
    </w:p>
  </w:endnote>
  <w:endnote w:type="continuationNotice" w:id="1">
    <w:p w14:paraId="268A2AF3" w14:textId="77777777" w:rsidR="0098585D" w:rsidRDefault="00985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6B17" w14:textId="77777777" w:rsidR="0098585D" w:rsidRDefault="0098585D">
      <w:r>
        <w:separator/>
      </w:r>
    </w:p>
  </w:footnote>
  <w:footnote w:type="continuationSeparator" w:id="0">
    <w:p w14:paraId="0EEAB9F6" w14:textId="77777777" w:rsidR="0098585D" w:rsidRDefault="0098585D">
      <w:r>
        <w:continuationSeparator/>
      </w:r>
    </w:p>
  </w:footnote>
  <w:footnote w:type="continuationNotice" w:id="1">
    <w:p w14:paraId="60BC3223" w14:textId="77777777" w:rsidR="0098585D" w:rsidRDefault="00985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26358"/>
    <w:rsid w:val="00033CCB"/>
    <w:rsid w:val="00040026"/>
    <w:rsid w:val="00040F9A"/>
    <w:rsid w:val="00044FD6"/>
    <w:rsid w:val="00053927"/>
    <w:rsid w:val="00066B9C"/>
    <w:rsid w:val="000A2089"/>
    <w:rsid w:val="000B5138"/>
    <w:rsid w:val="000E3E90"/>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3433F"/>
    <w:rsid w:val="002353C2"/>
    <w:rsid w:val="00252928"/>
    <w:rsid w:val="00290574"/>
    <w:rsid w:val="002922ED"/>
    <w:rsid w:val="002A0D90"/>
    <w:rsid w:val="002B36B8"/>
    <w:rsid w:val="002B41FC"/>
    <w:rsid w:val="002D4453"/>
    <w:rsid w:val="002E3EE8"/>
    <w:rsid w:val="002E71EA"/>
    <w:rsid w:val="003013F2"/>
    <w:rsid w:val="003103FA"/>
    <w:rsid w:val="00325CC1"/>
    <w:rsid w:val="003452C3"/>
    <w:rsid w:val="003862C1"/>
    <w:rsid w:val="003B67D6"/>
    <w:rsid w:val="003B6DEE"/>
    <w:rsid w:val="003B7AA9"/>
    <w:rsid w:val="003C6E8E"/>
    <w:rsid w:val="003F2338"/>
    <w:rsid w:val="0041209E"/>
    <w:rsid w:val="00435927"/>
    <w:rsid w:val="00444442"/>
    <w:rsid w:val="00454571"/>
    <w:rsid w:val="004C01C3"/>
    <w:rsid w:val="004C7AFD"/>
    <w:rsid w:val="005042B0"/>
    <w:rsid w:val="005119C6"/>
    <w:rsid w:val="00513431"/>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42146"/>
    <w:rsid w:val="0064604E"/>
    <w:rsid w:val="0065196C"/>
    <w:rsid w:val="00654583"/>
    <w:rsid w:val="006674A0"/>
    <w:rsid w:val="00683757"/>
    <w:rsid w:val="00697600"/>
    <w:rsid w:val="006D1BE2"/>
    <w:rsid w:val="006E0CE9"/>
    <w:rsid w:val="006E1500"/>
    <w:rsid w:val="006E6E8C"/>
    <w:rsid w:val="006F2EDE"/>
    <w:rsid w:val="00706C3E"/>
    <w:rsid w:val="00706F0D"/>
    <w:rsid w:val="00711A3D"/>
    <w:rsid w:val="00715CFC"/>
    <w:rsid w:val="007206E0"/>
    <w:rsid w:val="00720A10"/>
    <w:rsid w:val="00734D16"/>
    <w:rsid w:val="00744141"/>
    <w:rsid w:val="00751235"/>
    <w:rsid w:val="007577F8"/>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B638D"/>
    <w:rsid w:val="00BC3EF4"/>
    <w:rsid w:val="00BE3E2A"/>
    <w:rsid w:val="00BF2C37"/>
    <w:rsid w:val="00C10CC7"/>
    <w:rsid w:val="00C62741"/>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9D4B11-184A-4E1E-A81F-F29291C8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3466</Words>
  <Characters>19761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Mojca Srebot</cp:lastModifiedBy>
  <cp:revision>6</cp:revision>
  <cp:lastPrinted>2020-07-01T07:25:00Z</cp:lastPrinted>
  <dcterms:created xsi:type="dcterms:W3CDTF">2022-03-10T12:40:00Z</dcterms:created>
  <dcterms:modified xsi:type="dcterms:W3CDTF">2022-03-14T16:00:00Z</dcterms:modified>
</cp:coreProperties>
</file>